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45D" w:rsidRPr="002E645D" w:rsidRDefault="00AF6481" w:rsidP="002E645D">
      <w:pPr>
        <w:jc w:val="center"/>
        <w:rPr>
          <w:rFonts w:cstheme="minorHAnsi"/>
          <w:b/>
          <w:color w:val="000000"/>
          <w:sz w:val="28"/>
          <w:szCs w:val="28"/>
        </w:rPr>
      </w:pPr>
      <w:r w:rsidRPr="002E645D">
        <w:rPr>
          <w:rFonts w:cstheme="minorHAnsi"/>
          <w:b/>
          <w:color w:val="000000"/>
          <w:sz w:val="28"/>
          <w:szCs w:val="28"/>
        </w:rPr>
        <w:t>Regulations</w:t>
      </w:r>
    </w:p>
    <w:p w:rsidR="002E645D" w:rsidRPr="002E645D" w:rsidRDefault="00AF6481" w:rsidP="002E645D">
      <w:pPr>
        <w:pStyle w:val="NoSpacing"/>
        <w:jc w:val="center"/>
        <w:rPr>
          <w:rFonts w:cstheme="minorHAnsi"/>
          <w:sz w:val="24"/>
          <w:szCs w:val="24"/>
        </w:rPr>
      </w:pPr>
      <w:r w:rsidRPr="002E645D">
        <w:rPr>
          <w:rFonts w:cstheme="minorHAnsi"/>
          <w:sz w:val="24"/>
          <w:szCs w:val="24"/>
        </w:rPr>
        <w:t>Josh More</w:t>
      </w:r>
      <w:r w:rsidR="002E645D" w:rsidRPr="002E645D">
        <w:rPr>
          <w:rFonts w:cstheme="minorHAnsi"/>
          <w:sz w:val="24"/>
          <w:szCs w:val="24"/>
        </w:rPr>
        <w:t>, Schiff Hardin’s Environmental Law Group,</w:t>
      </w:r>
    </w:p>
    <w:p w:rsidR="00AF6481" w:rsidRPr="002E645D" w:rsidRDefault="002E645D" w:rsidP="002E645D">
      <w:pPr>
        <w:pStyle w:val="NoSpacing"/>
        <w:jc w:val="center"/>
        <w:rPr>
          <w:rFonts w:cstheme="minorHAnsi"/>
          <w:sz w:val="24"/>
          <w:szCs w:val="24"/>
        </w:rPr>
      </w:pPr>
      <w:r w:rsidRPr="002E645D">
        <w:rPr>
          <w:rFonts w:cstheme="minorHAnsi"/>
          <w:sz w:val="24"/>
          <w:szCs w:val="24"/>
        </w:rPr>
        <w:t>Mark Rokoff, AECOM</w:t>
      </w:r>
    </w:p>
    <w:p w:rsidR="00AF6481" w:rsidRDefault="00AF6481">
      <w:pPr>
        <w:rPr>
          <w:rFonts w:ascii="Verdana" w:hAnsi="Verdana"/>
          <w:color w:val="000000"/>
          <w:sz w:val="20"/>
          <w:szCs w:val="20"/>
        </w:rPr>
      </w:pPr>
    </w:p>
    <w:p w:rsidR="002E645D" w:rsidRDefault="002E645D">
      <w:pPr>
        <w:rPr>
          <w:rFonts w:ascii="Verdana" w:hAnsi="Verdana"/>
          <w:color w:val="000000"/>
          <w:sz w:val="20"/>
          <w:szCs w:val="20"/>
        </w:rPr>
      </w:pPr>
    </w:p>
    <w:p w:rsidR="00C51C82" w:rsidRPr="00C51C82" w:rsidRDefault="00C51C82">
      <w:pPr>
        <w:rPr>
          <w:rFonts w:cstheme="minorHAnsi"/>
          <w:sz w:val="24"/>
          <w:szCs w:val="24"/>
        </w:rPr>
      </w:pPr>
      <w:r>
        <w:rPr>
          <w:rFonts w:cstheme="minorHAnsi"/>
          <w:color w:val="000000"/>
          <w:sz w:val="24"/>
          <w:szCs w:val="24"/>
        </w:rPr>
        <w:t>I</w:t>
      </w:r>
      <w:r w:rsidRPr="00C51C82">
        <w:rPr>
          <w:rFonts w:cstheme="minorHAnsi"/>
          <w:color w:val="000000"/>
          <w:sz w:val="24"/>
          <w:szCs w:val="24"/>
        </w:rPr>
        <w:t xml:space="preserve">n a time of regulatory uncertainty, the speakers will seek to address the status, recent changes/news, and the resulting impact.  More specifically, the program will provide an overview of (1) recent regulatory developments, including a summary of the appeal of the Phase I Part I Rule, (2) EPA’s interpretation of the D.C. Circuit’s opinion in USWAG v. EPA, and (3) an overview of how the current regulatory uncertainty is affecting how the CCR Rule is being implemented and how a utility can best respond/prepare.  In addition, if a new regulation is released, the presentation may skew </w:t>
      </w:r>
      <w:bookmarkStart w:id="0" w:name="_GoBack"/>
      <w:bookmarkEnd w:id="0"/>
      <w:r w:rsidRPr="00C51C82">
        <w:rPr>
          <w:rFonts w:cstheme="minorHAnsi"/>
          <w:color w:val="000000"/>
          <w:sz w:val="24"/>
          <w:szCs w:val="24"/>
        </w:rPr>
        <w:t>the overview to address relevant sections.</w:t>
      </w:r>
    </w:p>
    <w:sectPr w:rsidR="00C51C82" w:rsidRPr="00C51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481"/>
    <w:rsid w:val="00000B65"/>
    <w:rsid w:val="002E645D"/>
    <w:rsid w:val="006E1F28"/>
    <w:rsid w:val="00AF6481"/>
    <w:rsid w:val="00C51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8AF35"/>
  <w15:chartTrackingRefBased/>
  <w15:docId w15:val="{36BAAE16-FF03-42C8-9441-5436D217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4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Oberlink, Anne</dc:creator>
  <cp:keywords/>
  <dc:description/>
  <cp:lastModifiedBy>Oberlink, Anne</cp:lastModifiedBy>
  <cp:revision>6</cp:revision>
  <cp:lastPrinted>2019-02-06T18:25:00Z</cp:lastPrinted>
  <dcterms:created xsi:type="dcterms:W3CDTF">2019-02-05T15:51:00Z</dcterms:created>
  <dcterms:modified xsi:type="dcterms:W3CDTF">2019-02-06T18:25:00Z</dcterms:modified>
</cp:coreProperties>
</file>